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4D7" w:rsidRPr="00B5552A" w:rsidRDefault="001F7CBD" w:rsidP="005B45D3">
      <w:pPr>
        <w:pStyle w:val="Title"/>
        <w:pBdr>
          <w:bottom w:val="single" w:sz="8" w:space="3" w:color="4F81BD" w:themeColor="accent1"/>
        </w:pBdr>
        <w:jc w:val="center"/>
        <w:rPr>
          <w:sz w:val="28"/>
          <w:szCs w:val="28"/>
        </w:rPr>
      </w:pPr>
      <w:r w:rsidRPr="00B5552A">
        <w:rPr>
          <w:sz w:val="28"/>
          <w:szCs w:val="28"/>
        </w:rPr>
        <w:t>STATE OF MISSISSIPPI</w:t>
      </w:r>
    </w:p>
    <w:p w:rsidR="00B5552A" w:rsidRPr="00B5552A" w:rsidRDefault="001F7CBD" w:rsidP="005B45D3">
      <w:pPr>
        <w:pStyle w:val="Title"/>
        <w:pBdr>
          <w:bottom w:val="single" w:sz="8" w:space="3" w:color="4F81BD" w:themeColor="accent1"/>
        </w:pBdr>
        <w:jc w:val="center"/>
        <w:rPr>
          <w:sz w:val="28"/>
          <w:szCs w:val="28"/>
        </w:rPr>
      </w:pPr>
      <w:r w:rsidRPr="00B5552A">
        <w:rPr>
          <w:sz w:val="28"/>
          <w:szCs w:val="28"/>
        </w:rPr>
        <w:t xml:space="preserve">HOME RENTAL &amp; </w:t>
      </w:r>
    </w:p>
    <w:p w:rsidR="001F7CBD" w:rsidRPr="00B5552A" w:rsidRDefault="001F7CBD" w:rsidP="005B45D3">
      <w:pPr>
        <w:pStyle w:val="Title"/>
        <w:pBdr>
          <w:bottom w:val="single" w:sz="8" w:space="3" w:color="4F81BD" w:themeColor="accent1"/>
        </w:pBdr>
        <w:jc w:val="center"/>
        <w:rPr>
          <w:sz w:val="28"/>
          <w:szCs w:val="28"/>
        </w:rPr>
      </w:pPr>
      <w:r w:rsidRPr="00B5552A">
        <w:rPr>
          <w:sz w:val="28"/>
          <w:szCs w:val="28"/>
        </w:rPr>
        <w:t>COMMUNITY HOUSING DEVELOPMENT ORGANIZATION (CHDO)</w:t>
      </w:r>
    </w:p>
    <w:p w:rsidR="00525FF4" w:rsidRPr="00B5552A" w:rsidRDefault="001F7CBD" w:rsidP="005B45D3">
      <w:pPr>
        <w:pStyle w:val="Title"/>
        <w:pBdr>
          <w:bottom w:val="single" w:sz="8" w:space="3" w:color="4F81BD" w:themeColor="accent1"/>
        </w:pBdr>
        <w:jc w:val="center"/>
        <w:rPr>
          <w:sz w:val="28"/>
          <w:szCs w:val="28"/>
        </w:rPr>
      </w:pPr>
      <w:r w:rsidRPr="00B5552A">
        <w:rPr>
          <w:sz w:val="28"/>
          <w:szCs w:val="28"/>
        </w:rPr>
        <w:t>SET-ASIDE PROGRAMS</w:t>
      </w:r>
    </w:p>
    <w:p w:rsidR="008349A1" w:rsidRPr="00B5552A" w:rsidRDefault="001F7CBD" w:rsidP="005B45D3">
      <w:pPr>
        <w:pStyle w:val="Title"/>
        <w:pBdr>
          <w:bottom w:val="single" w:sz="8" w:space="3" w:color="4F81BD" w:themeColor="accent1"/>
        </w:pBdr>
        <w:jc w:val="center"/>
        <w:rPr>
          <w:sz w:val="28"/>
          <w:szCs w:val="28"/>
        </w:rPr>
      </w:pPr>
      <w:r w:rsidRPr="00B5552A">
        <w:rPr>
          <w:sz w:val="28"/>
          <w:szCs w:val="28"/>
        </w:rPr>
        <w:t>FACT SHEET</w:t>
      </w:r>
    </w:p>
    <w:p w:rsidR="00120918" w:rsidRPr="006754D7" w:rsidRDefault="00120918" w:rsidP="003900D9">
      <w:pPr>
        <w:jc w:val="both"/>
        <w:rPr>
          <w:b/>
          <w:i/>
          <w:u w:val="single"/>
        </w:rPr>
      </w:pPr>
      <w:r w:rsidRPr="006754D7">
        <w:rPr>
          <w:b/>
          <w:i/>
          <w:u w:val="single"/>
        </w:rPr>
        <w:t>Eligible Applicants</w:t>
      </w:r>
    </w:p>
    <w:p w:rsidR="00120918" w:rsidRDefault="00A870A0" w:rsidP="003900D9">
      <w:pPr>
        <w:jc w:val="both"/>
      </w:pPr>
      <w:bookmarkStart w:id="0" w:name="_GoBack"/>
      <w:bookmarkEnd w:id="0"/>
      <w:r>
        <w:t xml:space="preserve">For-profit and Non-profit applicants with experience developing affordable housing opportunities are eligible to apply for HOME funds.  Applicants must demonstrate financial capacity and development experience, directly relevant to the project submitted for funding.  Non-profit organizations applying through the CHDO Set-Aside must meet the CHDO qualifications and demonstrate staff capacity.  </w:t>
      </w:r>
    </w:p>
    <w:p w:rsidR="0055708A" w:rsidRDefault="0055708A" w:rsidP="003900D9">
      <w:pPr>
        <w:jc w:val="both"/>
      </w:pPr>
    </w:p>
    <w:p w:rsidR="0055708A" w:rsidRPr="0055708A" w:rsidRDefault="0055708A" w:rsidP="003900D9">
      <w:pPr>
        <w:jc w:val="both"/>
        <w:rPr>
          <w:b/>
          <w:i/>
          <w:u w:val="single"/>
        </w:rPr>
      </w:pPr>
      <w:r w:rsidRPr="0055708A">
        <w:rPr>
          <w:b/>
          <w:i/>
          <w:u w:val="single"/>
        </w:rPr>
        <w:t xml:space="preserve">Eligible Beneficiaries </w:t>
      </w:r>
    </w:p>
    <w:p w:rsidR="00120918" w:rsidRDefault="0055708A" w:rsidP="003900D9">
      <w:pPr>
        <w:jc w:val="both"/>
      </w:pPr>
      <w:r>
        <w:t>HOME units must be occupied by low and very-low income households.</w:t>
      </w:r>
    </w:p>
    <w:p w:rsidR="00C43A74" w:rsidRDefault="00C43A74" w:rsidP="003900D9">
      <w:pPr>
        <w:jc w:val="both"/>
        <w:rPr>
          <w:i/>
        </w:rPr>
      </w:pPr>
    </w:p>
    <w:p w:rsidR="0055708A" w:rsidRPr="001A308B" w:rsidRDefault="00C43A74" w:rsidP="003900D9">
      <w:pPr>
        <w:jc w:val="both"/>
        <w:rPr>
          <w:i/>
          <w:sz w:val="18"/>
          <w:szCs w:val="18"/>
        </w:rPr>
      </w:pPr>
      <w:r>
        <w:rPr>
          <w:i/>
        </w:rPr>
        <w:t>*</w:t>
      </w:r>
      <w:r w:rsidR="00A524A0" w:rsidRPr="001A308B">
        <w:rPr>
          <w:i/>
          <w:sz w:val="18"/>
          <w:szCs w:val="18"/>
        </w:rPr>
        <w:t>Rental Housing:  Ninety Percent (90%) of the HOME units must be rented to households with incomes at or below Sixty Percent (60%) of Area Median Income (AMI). Further, twenty percent (20%) of the HOME units must be rented to households wit</w:t>
      </w:r>
      <w:r w:rsidRPr="001A308B">
        <w:rPr>
          <w:i/>
          <w:sz w:val="18"/>
          <w:szCs w:val="18"/>
        </w:rPr>
        <w:t>h incomes at or below 50% of Area Median Income (AMI).</w:t>
      </w:r>
    </w:p>
    <w:p w:rsidR="00C43A74" w:rsidRPr="00902B95" w:rsidRDefault="00C43A74" w:rsidP="003900D9">
      <w:pPr>
        <w:jc w:val="both"/>
      </w:pPr>
    </w:p>
    <w:p w:rsidR="001F7CBD" w:rsidRDefault="001F7CBD" w:rsidP="001F7CBD">
      <w:pPr>
        <w:jc w:val="both"/>
        <w:rPr>
          <w:b/>
          <w:i/>
          <w:u w:val="single"/>
        </w:rPr>
      </w:pPr>
      <w:r w:rsidRPr="001F7CBD">
        <w:rPr>
          <w:b/>
          <w:i/>
          <w:u w:val="single"/>
        </w:rPr>
        <w:t xml:space="preserve">Eligible </w:t>
      </w:r>
      <w:r>
        <w:rPr>
          <w:b/>
          <w:i/>
          <w:u w:val="single"/>
        </w:rPr>
        <w:t>Activities</w:t>
      </w:r>
    </w:p>
    <w:p w:rsidR="001F7CBD" w:rsidRDefault="001F7CBD" w:rsidP="001F7CBD">
      <w:pPr>
        <w:pStyle w:val="ListParagraph"/>
        <w:numPr>
          <w:ilvl w:val="0"/>
          <w:numId w:val="5"/>
        </w:numPr>
        <w:jc w:val="both"/>
      </w:pPr>
      <w:r>
        <w:t>Acquisition</w:t>
      </w:r>
    </w:p>
    <w:p w:rsidR="001F7CBD" w:rsidRDefault="001F7CBD" w:rsidP="001F7CBD">
      <w:pPr>
        <w:pStyle w:val="ListParagraph"/>
        <w:numPr>
          <w:ilvl w:val="0"/>
          <w:numId w:val="5"/>
        </w:numPr>
        <w:jc w:val="both"/>
      </w:pPr>
      <w:r>
        <w:t>Rehabilitation</w:t>
      </w:r>
    </w:p>
    <w:p w:rsidR="001F7CBD" w:rsidRDefault="001F7CBD" w:rsidP="001F7CBD">
      <w:pPr>
        <w:pStyle w:val="ListParagraph"/>
        <w:numPr>
          <w:ilvl w:val="0"/>
          <w:numId w:val="5"/>
        </w:numPr>
        <w:jc w:val="both"/>
      </w:pPr>
      <w:r>
        <w:t>Construction</w:t>
      </w:r>
    </w:p>
    <w:p w:rsidR="001F7CBD" w:rsidRDefault="001F7CBD" w:rsidP="001F7CBD">
      <w:pPr>
        <w:jc w:val="both"/>
        <w:rPr>
          <w:b/>
        </w:rPr>
      </w:pPr>
    </w:p>
    <w:p w:rsidR="001F7CBD" w:rsidRDefault="001F7CBD" w:rsidP="001F7CBD">
      <w:pPr>
        <w:jc w:val="both"/>
      </w:pPr>
      <w:r w:rsidRPr="001F7CBD">
        <w:rPr>
          <w:b/>
          <w:i/>
          <w:u w:val="single"/>
        </w:rPr>
        <w:t>Eligible Project Type</w:t>
      </w:r>
      <w:r>
        <w:t xml:space="preserve"> </w:t>
      </w:r>
    </w:p>
    <w:p w:rsidR="005B45D3" w:rsidRDefault="005B45D3" w:rsidP="005B45D3">
      <w:pPr>
        <w:pStyle w:val="ListParagraph"/>
        <w:numPr>
          <w:ilvl w:val="0"/>
          <w:numId w:val="6"/>
        </w:numPr>
        <w:jc w:val="both"/>
      </w:pPr>
      <w:r>
        <w:t>Multi-Family Rental Housing</w:t>
      </w:r>
    </w:p>
    <w:p w:rsidR="005B45D3" w:rsidRDefault="005B45D3" w:rsidP="005B45D3">
      <w:pPr>
        <w:pStyle w:val="ListParagraph"/>
        <w:numPr>
          <w:ilvl w:val="0"/>
          <w:numId w:val="6"/>
        </w:numPr>
        <w:jc w:val="both"/>
      </w:pPr>
      <w:r>
        <w:t>Single Family Rental Housing</w:t>
      </w:r>
    </w:p>
    <w:p w:rsidR="005B45D3" w:rsidRDefault="005B45D3" w:rsidP="003900D9">
      <w:pPr>
        <w:jc w:val="both"/>
        <w:rPr>
          <w:b/>
          <w:i/>
          <w:u w:val="single"/>
        </w:rPr>
      </w:pPr>
    </w:p>
    <w:p w:rsidR="00FA07F0" w:rsidRPr="00FA07F0" w:rsidRDefault="00FA07F0" w:rsidP="00FA07F0">
      <w:pPr>
        <w:jc w:val="both"/>
        <w:rPr>
          <w:b/>
          <w:i/>
          <w:u w:val="single"/>
        </w:rPr>
      </w:pPr>
      <w:r w:rsidRPr="00FA07F0">
        <w:rPr>
          <w:b/>
          <w:i/>
          <w:u w:val="single"/>
        </w:rPr>
        <w:t>HOME-Assisted Units</w:t>
      </w:r>
    </w:p>
    <w:p w:rsidR="00FA07F0" w:rsidRDefault="00FA07F0" w:rsidP="00FA07F0">
      <w:pPr>
        <w:jc w:val="both"/>
      </w:pPr>
      <w:r>
        <w:t>MHC will designate HOME-Assisted Units as “fixed” or “floating” units.  Floating units may change over time as long as the total number of HOME-assisted units in the project remains constant.  Owners must ensure that all HOME-assisted units remain comparable to the non-assisted units over the affordability period in terms of size, features and number of bedrooms.</w:t>
      </w:r>
    </w:p>
    <w:p w:rsidR="005B45D3" w:rsidRDefault="005B45D3" w:rsidP="003900D9">
      <w:pPr>
        <w:jc w:val="both"/>
        <w:rPr>
          <w:b/>
          <w:i/>
          <w:u w:val="single"/>
        </w:rPr>
      </w:pPr>
    </w:p>
    <w:p w:rsidR="0073693E" w:rsidRDefault="0073693E" w:rsidP="003900D9">
      <w:pPr>
        <w:jc w:val="both"/>
        <w:rPr>
          <w:b/>
          <w:i/>
          <w:u w:val="single"/>
        </w:rPr>
      </w:pPr>
      <w:r>
        <w:rPr>
          <w:b/>
          <w:i/>
          <w:u w:val="single"/>
        </w:rPr>
        <w:t>Period of Affordability</w:t>
      </w:r>
    </w:p>
    <w:p w:rsidR="0073693E" w:rsidRDefault="0073693E" w:rsidP="0073693E">
      <w:pPr>
        <w:jc w:val="both"/>
      </w:pPr>
      <w:r>
        <w:t xml:space="preserve">Housing assisted with HOME funds must meet the affordability requirements of §92.252 or §92.254, as applicable.  </w:t>
      </w:r>
      <w:r w:rsidR="005E5A0C">
        <w:t>HUD will require repayment of HOME funds, if the affordability requirements for the specified time period are not met.</w:t>
      </w:r>
    </w:p>
    <w:p w:rsidR="0073693E" w:rsidRDefault="0073693E" w:rsidP="003900D9">
      <w:pPr>
        <w:jc w:val="both"/>
        <w:rPr>
          <w:b/>
          <w:i/>
          <w:u w:val="single"/>
        </w:rPr>
      </w:pPr>
    </w:p>
    <w:p w:rsidR="0073693E" w:rsidRDefault="0073693E" w:rsidP="003900D9">
      <w:pPr>
        <w:jc w:val="both"/>
        <w:rPr>
          <w:b/>
          <w:i/>
          <w:u w:val="single"/>
        </w:rPr>
      </w:pPr>
      <w:r>
        <w:rPr>
          <w:b/>
          <w:i/>
          <w:u w:val="single"/>
        </w:rPr>
        <w:t>Availability of Funds</w:t>
      </w:r>
    </w:p>
    <w:p w:rsidR="0073693E" w:rsidRDefault="0073693E" w:rsidP="003900D9">
      <w:pPr>
        <w:jc w:val="both"/>
      </w:pPr>
      <w:r w:rsidRPr="001F7CBD">
        <w:t xml:space="preserve">The amount of HOME funds available in the Rental Set-Aside and the CHDO Set-Aside is </w:t>
      </w:r>
      <w:r w:rsidR="001A308B">
        <w:t>determined by HUD’s annual appropriation and the State’s Consolidated Plan Priorities.</w:t>
      </w:r>
      <w:r w:rsidRPr="001F7CBD">
        <w:t xml:space="preserve"> </w:t>
      </w:r>
    </w:p>
    <w:p w:rsidR="009433F3" w:rsidRPr="006754D7" w:rsidRDefault="009433F3" w:rsidP="003900D9">
      <w:pPr>
        <w:jc w:val="both"/>
        <w:rPr>
          <w:b/>
          <w:i/>
          <w:u w:val="single"/>
        </w:rPr>
      </w:pPr>
      <w:r w:rsidRPr="006754D7">
        <w:rPr>
          <w:b/>
          <w:i/>
          <w:u w:val="single"/>
        </w:rPr>
        <w:t>Maximum Amount</w:t>
      </w:r>
    </w:p>
    <w:p w:rsidR="00FA07F0" w:rsidRDefault="00FA07F0" w:rsidP="003900D9">
      <w:pPr>
        <w:jc w:val="both"/>
      </w:pPr>
    </w:p>
    <w:p w:rsidR="003458BE" w:rsidRPr="001F7CBD" w:rsidRDefault="0073693E" w:rsidP="0055708A">
      <w:pPr>
        <w:pStyle w:val="ListParagraph"/>
        <w:numPr>
          <w:ilvl w:val="0"/>
          <w:numId w:val="7"/>
        </w:numPr>
        <w:jc w:val="both"/>
      </w:pPr>
      <w:r>
        <w:lastRenderedPageBreak/>
        <w:t xml:space="preserve">Maximum Award per applicant is </w:t>
      </w:r>
      <w:r w:rsidR="00C43A74">
        <w:t>based on funds availability and t</w:t>
      </w:r>
      <w:r>
        <w:t>he final amount determined by reviewing the financial feasibility of the project including operating revenues.</w:t>
      </w:r>
      <w:r w:rsidR="003458BE">
        <w:t xml:space="preserve"> </w:t>
      </w:r>
    </w:p>
    <w:p w:rsidR="003458BE" w:rsidRDefault="003458BE" w:rsidP="0055708A">
      <w:pPr>
        <w:pStyle w:val="ListParagraph"/>
        <w:numPr>
          <w:ilvl w:val="0"/>
          <w:numId w:val="7"/>
        </w:numPr>
        <w:jc w:val="both"/>
      </w:pPr>
      <w:r>
        <w:t xml:space="preserve">Maximum Award per project is up to $400,000 per phase of the development not to exceed the maximum award per applicant. </w:t>
      </w:r>
    </w:p>
    <w:p w:rsidR="003458BE" w:rsidRDefault="003458BE" w:rsidP="003900D9">
      <w:pPr>
        <w:jc w:val="both"/>
      </w:pPr>
    </w:p>
    <w:p w:rsidR="006754D7" w:rsidRPr="00F85E21" w:rsidRDefault="003458BE" w:rsidP="003900D9">
      <w:pPr>
        <w:jc w:val="both"/>
        <w:rPr>
          <w:i/>
          <w:sz w:val="18"/>
          <w:szCs w:val="18"/>
        </w:rPr>
      </w:pPr>
      <w:r w:rsidRPr="00F85E21">
        <w:rPr>
          <w:i/>
          <w:sz w:val="18"/>
          <w:szCs w:val="18"/>
        </w:rPr>
        <w:t>*Subsidy Layering Analysis will determine costs are reasonable, verifiable sources and uses of funds, amounts requested are necessary and their use</w:t>
      </w:r>
      <w:r w:rsidR="00A524A0" w:rsidRPr="00F85E21">
        <w:rPr>
          <w:i/>
          <w:sz w:val="18"/>
          <w:szCs w:val="18"/>
        </w:rPr>
        <w:t>s</w:t>
      </w:r>
      <w:r w:rsidRPr="00F85E21">
        <w:rPr>
          <w:i/>
          <w:sz w:val="18"/>
          <w:szCs w:val="18"/>
        </w:rPr>
        <w:t xml:space="preserve"> are determined feasible. </w:t>
      </w:r>
      <w:r w:rsidR="00A524A0" w:rsidRPr="00F85E21">
        <w:rPr>
          <w:i/>
          <w:sz w:val="18"/>
          <w:szCs w:val="18"/>
        </w:rPr>
        <w:t>The total HOME award may not exceed the maximum per unit subsidy limits applicable at the time of HOME commitment for the number of units that will be designated as “HOME units”.</w:t>
      </w:r>
    </w:p>
    <w:p w:rsidR="0073693E" w:rsidRDefault="0073693E" w:rsidP="003900D9">
      <w:pPr>
        <w:jc w:val="both"/>
        <w:rPr>
          <w:b/>
          <w:u w:val="single"/>
        </w:rPr>
      </w:pPr>
    </w:p>
    <w:p w:rsidR="006754D7" w:rsidRDefault="006754D7" w:rsidP="003900D9">
      <w:pPr>
        <w:jc w:val="both"/>
        <w:rPr>
          <w:rFonts w:eastAsia="Calibri" w:cs="Times New Roman"/>
        </w:rPr>
      </w:pPr>
      <w:r w:rsidRPr="006754D7">
        <w:rPr>
          <w:b/>
          <w:u w:val="single"/>
        </w:rPr>
        <w:t>Other Funding Sources</w:t>
      </w:r>
    </w:p>
    <w:p w:rsidR="003458BE" w:rsidRDefault="00BA1B50" w:rsidP="003458BE">
      <w:pPr>
        <w:jc w:val="both"/>
        <w:rPr>
          <w:rFonts w:eastAsia="Calibri" w:cs="Times New Roman"/>
        </w:rPr>
      </w:pPr>
      <w:r>
        <w:rPr>
          <w:rFonts w:eastAsia="Calibri" w:cs="Times New Roman"/>
        </w:rPr>
        <w:t>HOME funds are intended to leverage other affordable housing funds to maximize the resources available for the development of affordable housing opportunities. Other sources typically leveraged with HOME funds</w:t>
      </w:r>
      <w:r w:rsidR="00A524A0">
        <w:rPr>
          <w:rFonts w:eastAsia="Calibri" w:cs="Times New Roman"/>
        </w:rPr>
        <w:t xml:space="preserve"> are</w:t>
      </w:r>
      <w:r w:rsidR="00B77BEF" w:rsidRPr="004C6633">
        <w:rPr>
          <w:rFonts w:eastAsia="Calibri" w:cs="Times New Roman"/>
        </w:rPr>
        <w:t xml:space="preserve"> other federal and non-federal sources to produce and preserve affordable units such as </w:t>
      </w:r>
      <w:r w:rsidR="00B77BEF">
        <w:rPr>
          <w:rFonts w:eastAsia="Calibri" w:cs="Times New Roman"/>
        </w:rPr>
        <w:t>Federal Home Loan Bank (FHLB), Rural Development</w:t>
      </w:r>
      <w:r w:rsidR="00B77BEF" w:rsidRPr="004C6633">
        <w:rPr>
          <w:rFonts w:eastAsia="Calibri" w:cs="Times New Roman"/>
        </w:rPr>
        <w:t>, Low Income Housing Tax Credits</w:t>
      </w:r>
      <w:r w:rsidR="00B77BEF">
        <w:rPr>
          <w:rFonts w:eastAsia="Calibri" w:cs="Times New Roman"/>
        </w:rPr>
        <w:t xml:space="preserve"> (LIHTC)</w:t>
      </w:r>
      <w:r w:rsidR="00B77BEF" w:rsidRPr="004C6633">
        <w:rPr>
          <w:rFonts w:eastAsia="Calibri" w:cs="Times New Roman"/>
        </w:rPr>
        <w:t>, and Tax Exempt Bonds with Housing Tax Credits.</w:t>
      </w:r>
      <w:r w:rsidR="003458BE">
        <w:rPr>
          <w:rFonts w:eastAsia="Calibri" w:cs="Times New Roman"/>
        </w:rPr>
        <w:t xml:space="preserve"> </w:t>
      </w:r>
    </w:p>
    <w:p w:rsidR="003458BE" w:rsidRDefault="003458BE" w:rsidP="003458BE">
      <w:pPr>
        <w:jc w:val="both"/>
        <w:rPr>
          <w:rFonts w:eastAsia="Calibri" w:cs="Times New Roman"/>
        </w:rPr>
      </w:pPr>
    </w:p>
    <w:p w:rsidR="003458BE" w:rsidRPr="00F85E21" w:rsidRDefault="003458BE" w:rsidP="003458BE">
      <w:pPr>
        <w:jc w:val="both"/>
        <w:rPr>
          <w:i/>
          <w:sz w:val="20"/>
          <w:szCs w:val="20"/>
        </w:rPr>
      </w:pPr>
      <w:r w:rsidRPr="00F85E21">
        <w:rPr>
          <w:i/>
          <w:sz w:val="20"/>
          <w:szCs w:val="20"/>
        </w:rPr>
        <w:t xml:space="preserve">*The development must demonstrate a need for the use of HOME funds as gap funding to contribute to its financial feasibility. </w:t>
      </w:r>
    </w:p>
    <w:p w:rsidR="005961C9" w:rsidRDefault="005961C9" w:rsidP="005961C9">
      <w:pPr>
        <w:jc w:val="both"/>
        <w:rPr>
          <w:b/>
          <w:i/>
        </w:rPr>
      </w:pPr>
    </w:p>
    <w:p w:rsidR="005B45D3" w:rsidRPr="005B45D3" w:rsidRDefault="005B45D3" w:rsidP="005B45D3">
      <w:pPr>
        <w:jc w:val="both"/>
        <w:rPr>
          <w:b/>
          <w:i/>
          <w:u w:val="single"/>
        </w:rPr>
      </w:pPr>
      <w:r w:rsidRPr="005B45D3">
        <w:rPr>
          <w:b/>
          <w:i/>
          <w:u w:val="single"/>
        </w:rPr>
        <w:t>HOME AWARDS</w:t>
      </w:r>
    </w:p>
    <w:p w:rsidR="005B45D3" w:rsidRDefault="005B45D3" w:rsidP="005B45D3">
      <w:pPr>
        <w:jc w:val="both"/>
      </w:pPr>
      <w:r>
        <w:t xml:space="preserve">HOME funds will be awarded to applicants in the form of a loan, </w:t>
      </w:r>
      <w:r w:rsidRPr="004C6633">
        <w:rPr>
          <w:rFonts w:eastAsia="Cambria" w:cs="Times New Roman"/>
          <w:bCs/>
          <w:spacing w:val="-1"/>
        </w:rPr>
        <w:t xml:space="preserve">payable from available cash flow to minimize project debt and maximize affordability to </w:t>
      </w:r>
      <w:r>
        <w:rPr>
          <w:rFonts w:eastAsia="Cambria" w:cs="Times New Roman"/>
          <w:bCs/>
          <w:spacing w:val="-1"/>
        </w:rPr>
        <w:t>eligible</w:t>
      </w:r>
      <w:r w:rsidRPr="004C6633">
        <w:rPr>
          <w:rFonts w:eastAsia="Cambria" w:cs="Times New Roman"/>
          <w:bCs/>
          <w:spacing w:val="-1"/>
        </w:rPr>
        <w:t xml:space="preserve"> households.</w:t>
      </w:r>
      <w:r>
        <w:t xml:space="preserve">  </w:t>
      </w:r>
    </w:p>
    <w:p w:rsidR="00B77BEF" w:rsidRDefault="00B77BEF">
      <w:pPr>
        <w:rPr>
          <w:b/>
          <w:i/>
        </w:rPr>
      </w:pPr>
    </w:p>
    <w:p w:rsidR="0072539D" w:rsidRDefault="00FA07F0" w:rsidP="0072539D">
      <w:pPr>
        <w:widowControl w:val="0"/>
        <w:outlineLvl w:val="2"/>
        <w:rPr>
          <w:rFonts w:eastAsia="Times New Roman"/>
          <w:b/>
          <w:bCs/>
          <w:u w:val="single"/>
        </w:rPr>
      </w:pPr>
      <w:r w:rsidRPr="00B77BEF">
        <w:rPr>
          <w:rFonts w:eastAsia="Times New Roman"/>
          <w:b/>
          <w:bCs/>
          <w:u w:val="single"/>
        </w:rPr>
        <w:t>APPLICATION PROCESS</w:t>
      </w:r>
      <w:bookmarkStart w:id="1" w:name="_Toc453340465"/>
      <w:bookmarkStart w:id="2" w:name="_Toc454456219"/>
      <w:bookmarkStart w:id="3" w:name="_Toc455734570"/>
      <w:bookmarkStart w:id="4" w:name="_Toc460315545"/>
      <w:bookmarkStart w:id="5" w:name="_Toc460327029"/>
      <w:bookmarkStart w:id="6" w:name="_Toc460328647"/>
      <w:bookmarkStart w:id="7" w:name="_Toc460507471"/>
    </w:p>
    <w:p w:rsidR="00E70C5E" w:rsidRPr="00902B95" w:rsidRDefault="00E70C5E" w:rsidP="0072539D">
      <w:pPr>
        <w:widowControl w:val="0"/>
        <w:spacing w:after="200"/>
        <w:outlineLvl w:val="2"/>
      </w:pPr>
      <w:r w:rsidRPr="00902B95">
        <w:t>Applicants must submit a fully completed and executed HOME Investment Partnership Program Application Package that includes the application and all required supporting documentation.  There is no application fee for applying for HOME funds.</w:t>
      </w:r>
    </w:p>
    <w:p w:rsidR="00FA07F0" w:rsidRPr="00B77BEF" w:rsidRDefault="00FA07F0" w:rsidP="00FA07F0">
      <w:pPr>
        <w:spacing w:before="60" w:after="200" w:line="276" w:lineRule="auto"/>
        <w:outlineLvl w:val="0"/>
        <w:rPr>
          <w:rFonts w:eastAsia="Cambria" w:cs="Times New Roman"/>
          <w:bCs/>
        </w:rPr>
      </w:pPr>
      <w:r w:rsidRPr="00B77BEF">
        <w:rPr>
          <w:rFonts w:eastAsia="Cambria" w:cs="Times New Roman"/>
          <w:bCs/>
        </w:rPr>
        <w:t>The application process consists of two steps:</w:t>
      </w:r>
      <w:bookmarkEnd w:id="1"/>
      <w:bookmarkEnd w:id="2"/>
      <w:bookmarkEnd w:id="3"/>
      <w:bookmarkEnd w:id="4"/>
      <w:bookmarkEnd w:id="5"/>
      <w:bookmarkEnd w:id="6"/>
      <w:bookmarkEnd w:id="7"/>
      <w:r w:rsidRPr="00B77BEF">
        <w:rPr>
          <w:rFonts w:eastAsia="Cambria" w:cs="Times New Roman"/>
          <w:bCs/>
        </w:rPr>
        <w:t xml:space="preserve">  </w:t>
      </w:r>
    </w:p>
    <w:p w:rsidR="00FA07F0" w:rsidRPr="00B77BEF" w:rsidRDefault="00FA07F0" w:rsidP="00FA07F0">
      <w:pPr>
        <w:widowControl w:val="0"/>
        <w:numPr>
          <w:ilvl w:val="0"/>
          <w:numId w:val="4"/>
        </w:numPr>
        <w:spacing w:before="60" w:after="200" w:line="276" w:lineRule="auto"/>
        <w:outlineLvl w:val="0"/>
        <w:rPr>
          <w:rFonts w:eastAsia="Cambria" w:cs="Times New Roman"/>
          <w:bCs/>
        </w:rPr>
      </w:pPr>
      <w:bookmarkStart w:id="8" w:name="_Toc453340466"/>
      <w:bookmarkStart w:id="9" w:name="_Toc454456220"/>
      <w:bookmarkStart w:id="10" w:name="_Toc455734571"/>
      <w:bookmarkStart w:id="11" w:name="_Toc460315546"/>
      <w:bookmarkStart w:id="12" w:name="_Toc460327030"/>
      <w:bookmarkStart w:id="13" w:name="_Toc460328648"/>
      <w:bookmarkStart w:id="14" w:name="_Toc460507472"/>
      <w:r w:rsidRPr="00B77BEF">
        <w:rPr>
          <w:rFonts w:eastAsia="Cambria" w:cs="Times New Roman"/>
          <w:bCs/>
          <w:u w:val="single"/>
        </w:rPr>
        <w:t>Threshold Review</w:t>
      </w:r>
      <w:r w:rsidRPr="00B77BEF">
        <w:rPr>
          <w:rFonts w:eastAsia="Cambria" w:cs="Times New Roman"/>
          <w:bCs/>
        </w:rPr>
        <w:t xml:space="preserve"> - </w:t>
      </w:r>
      <w:r w:rsidRPr="00B77BEF">
        <w:rPr>
          <w:rFonts w:cs="Times New Roman"/>
          <w:spacing w:val="-1"/>
        </w:rPr>
        <w:t>A</w:t>
      </w:r>
      <w:r w:rsidRPr="00B77BEF">
        <w:rPr>
          <w:rFonts w:cs="Times New Roman"/>
        </w:rPr>
        <w:t>n</w:t>
      </w:r>
      <w:r w:rsidRPr="00B77BEF">
        <w:rPr>
          <w:rFonts w:cs="Times New Roman"/>
          <w:spacing w:val="5"/>
        </w:rPr>
        <w:t xml:space="preserve"> </w:t>
      </w:r>
      <w:r w:rsidRPr="00B77BEF">
        <w:rPr>
          <w:rFonts w:cs="Times New Roman"/>
          <w:spacing w:val="-1"/>
        </w:rPr>
        <w:t>applicatio</w:t>
      </w:r>
      <w:r w:rsidRPr="00B77BEF">
        <w:rPr>
          <w:rFonts w:cs="Times New Roman"/>
        </w:rPr>
        <w:t>n</w:t>
      </w:r>
      <w:r w:rsidRPr="00B77BEF">
        <w:rPr>
          <w:rFonts w:cs="Times New Roman"/>
          <w:spacing w:val="5"/>
        </w:rPr>
        <w:t xml:space="preserve"> </w:t>
      </w:r>
      <w:r w:rsidRPr="00B77BEF">
        <w:rPr>
          <w:rFonts w:cs="Times New Roman"/>
          <w:spacing w:val="-1"/>
        </w:rPr>
        <w:t>mus</w:t>
      </w:r>
      <w:r w:rsidRPr="00B77BEF">
        <w:rPr>
          <w:rFonts w:cs="Times New Roman"/>
        </w:rPr>
        <w:t>t</w:t>
      </w:r>
      <w:r w:rsidRPr="00B77BEF">
        <w:rPr>
          <w:rFonts w:cs="Times New Roman"/>
          <w:spacing w:val="5"/>
        </w:rPr>
        <w:t xml:space="preserve"> </w:t>
      </w:r>
      <w:r w:rsidRPr="00B77BEF">
        <w:rPr>
          <w:rFonts w:cs="Times New Roman"/>
          <w:spacing w:val="-1"/>
        </w:rPr>
        <w:t>mee</w:t>
      </w:r>
      <w:r w:rsidRPr="00B77BEF">
        <w:rPr>
          <w:rFonts w:cs="Times New Roman"/>
        </w:rPr>
        <w:t>t</w:t>
      </w:r>
      <w:r w:rsidRPr="00B77BEF">
        <w:rPr>
          <w:rFonts w:cs="Times New Roman"/>
          <w:spacing w:val="4"/>
        </w:rPr>
        <w:t xml:space="preserve"> </w:t>
      </w:r>
      <w:r w:rsidRPr="00B77BEF">
        <w:rPr>
          <w:rFonts w:cs="Times New Roman"/>
          <w:spacing w:val="-1"/>
        </w:rPr>
        <w:t>al</w:t>
      </w:r>
      <w:r w:rsidRPr="00B77BEF">
        <w:rPr>
          <w:rFonts w:cs="Times New Roman"/>
        </w:rPr>
        <w:t>l</w:t>
      </w:r>
      <w:r w:rsidRPr="00B77BEF">
        <w:rPr>
          <w:rFonts w:cs="Times New Roman"/>
          <w:spacing w:val="4"/>
        </w:rPr>
        <w:t xml:space="preserve"> </w:t>
      </w:r>
      <w:r w:rsidRPr="00B77BEF">
        <w:rPr>
          <w:rFonts w:cs="Times New Roman"/>
          <w:spacing w:val="-1"/>
        </w:rPr>
        <w:t>thresho</w:t>
      </w:r>
      <w:r w:rsidRPr="00B77BEF">
        <w:rPr>
          <w:rFonts w:cs="Times New Roman"/>
          <w:spacing w:val="-2"/>
        </w:rPr>
        <w:t>l</w:t>
      </w:r>
      <w:r w:rsidRPr="00B77BEF">
        <w:rPr>
          <w:rFonts w:cs="Times New Roman"/>
        </w:rPr>
        <w:t>d</w:t>
      </w:r>
      <w:r w:rsidRPr="00B77BEF">
        <w:rPr>
          <w:rFonts w:cs="Times New Roman"/>
          <w:spacing w:val="5"/>
        </w:rPr>
        <w:t xml:space="preserve"> </w:t>
      </w:r>
      <w:r w:rsidRPr="00B77BEF">
        <w:rPr>
          <w:rFonts w:cs="Times New Roman"/>
          <w:spacing w:val="-1"/>
        </w:rPr>
        <w:t>requirement</w:t>
      </w:r>
      <w:r w:rsidRPr="00B77BEF">
        <w:rPr>
          <w:rFonts w:cs="Times New Roman"/>
        </w:rPr>
        <w:t xml:space="preserve">s. </w:t>
      </w:r>
      <w:bookmarkEnd w:id="8"/>
      <w:bookmarkEnd w:id="9"/>
      <w:bookmarkEnd w:id="10"/>
      <w:bookmarkEnd w:id="11"/>
      <w:bookmarkEnd w:id="12"/>
      <w:bookmarkEnd w:id="13"/>
      <w:bookmarkEnd w:id="14"/>
    </w:p>
    <w:p w:rsidR="00FA07F0" w:rsidRPr="00B77BEF" w:rsidRDefault="00FA07F0" w:rsidP="00FA07F0">
      <w:pPr>
        <w:widowControl w:val="0"/>
        <w:numPr>
          <w:ilvl w:val="0"/>
          <w:numId w:val="4"/>
        </w:numPr>
        <w:spacing w:before="60" w:after="200" w:line="276" w:lineRule="auto"/>
        <w:outlineLvl w:val="0"/>
        <w:rPr>
          <w:rFonts w:eastAsia="Cambria" w:cs="Times New Roman"/>
          <w:bCs/>
        </w:rPr>
      </w:pPr>
      <w:bookmarkStart w:id="15" w:name="_Toc453340467"/>
      <w:bookmarkStart w:id="16" w:name="_Toc454456221"/>
      <w:bookmarkStart w:id="17" w:name="_Toc455734572"/>
      <w:bookmarkStart w:id="18" w:name="_Toc460315547"/>
      <w:bookmarkStart w:id="19" w:name="_Toc460327031"/>
      <w:bookmarkStart w:id="20" w:name="_Toc460328649"/>
      <w:bookmarkStart w:id="21" w:name="_Toc460507473"/>
      <w:r w:rsidRPr="00B77BEF">
        <w:rPr>
          <w:rFonts w:eastAsia="Cambria" w:cs="Times New Roman"/>
          <w:bCs/>
          <w:u w:val="single"/>
        </w:rPr>
        <w:t>Application Scoring</w:t>
      </w:r>
      <w:r w:rsidRPr="00B77BEF" w:rsidDel="00D747E1">
        <w:rPr>
          <w:rFonts w:eastAsia="Cambria" w:cs="Times New Roman"/>
          <w:bCs/>
        </w:rPr>
        <w:t xml:space="preserve"> </w:t>
      </w:r>
      <w:r w:rsidRPr="00B77BEF">
        <w:rPr>
          <w:rFonts w:eastAsia="Cambria" w:cs="Times New Roman"/>
          <w:bCs/>
        </w:rPr>
        <w:t xml:space="preserve">– </w:t>
      </w:r>
      <w:r w:rsidRPr="00B77BEF">
        <w:rPr>
          <w:rFonts w:eastAsia="Calibri" w:cs="Times New Roman"/>
          <w:bCs/>
        </w:rPr>
        <w:t xml:space="preserve">An application must score a minimum of </w:t>
      </w:r>
      <w:r w:rsidRPr="005E5A0C">
        <w:rPr>
          <w:rFonts w:eastAsia="Calibri" w:cs="Times New Roman"/>
          <w:bCs/>
        </w:rPr>
        <w:t>75 on a 100</w:t>
      </w:r>
      <w:r w:rsidRPr="00B77BEF">
        <w:rPr>
          <w:rFonts w:eastAsia="Calibri" w:cs="Times New Roman"/>
          <w:bCs/>
        </w:rPr>
        <w:t xml:space="preserve"> point scale to be considered for a H</w:t>
      </w:r>
      <w:r>
        <w:rPr>
          <w:rFonts w:eastAsia="Calibri" w:cs="Times New Roman"/>
          <w:bCs/>
        </w:rPr>
        <w:t>OME</w:t>
      </w:r>
      <w:r w:rsidRPr="00B77BEF">
        <w:rPr>
          <w:rFonts w:eastAsia="Calibri" w:cs="Times New Roman"/>
          <w:bCs/>
        </w:rPr>
        <w:t xml:space="preserve"> Award.  </w:t>
      </w:r>
      <w:r w:rsidRPr="00B77BEF">
        <w:rPr>
          <w:rFonts w:eastAsia="Cambria" w:cs="Times New Roman"/>
          <w:bCs/>
        </w:rPr>
        <w:t xml:space="preserve"> </w:t>
      </w:r>
      <w:bookmarkEnd w:id="15"/>
      <w:bookmarkEnd w:id="16"/>
      <w:bookmarkEnd w:id="17"/>
      <w:bookmarkEnd w:id="18"/>
      <w:bookmarkEnd w:id="19"/>
      <w:bookmarkEnd w:id="20"/>
      <w:bookmarkEnd w:id="21"/>
      <w:r w:rsidRPr="00B77BEF">
        <w:rPr>
          <w:rFonts w:cs="Times New Roman"/>
        </w:rPr>
        <w:t xml:space="preserve">Applications are scored based on selection criteria.  </w:t>
      </w:r>
    </w:p>
    <w:p w:rsidR="00FA07F0" w:rsidRDefault="001A308B" w:rsidP="003900D9">
      <w:pPr>
        <w:jc w:val="both"/>
      </w:pPr>
      <w:r>
        <w:t>For any questions regarding the HOME Rental &amp; CHDO Set-aside Programs, please contact Lillie Naylor @ 601-718-4658 or lillie.naylor@mshc.com.</w:t>
      </w:r>
    </w:p>
    <w:sectPr w:rsidR="00FA07F0" w:rsidSect="00370DBC">
      <w:footerReference w:type="default" r:id="rId9"/>
      <w:footerReference w:type="first" r:id="rId10"/>
      <w:pgSz w:w="12240" w:h="15840" w:code="1"/>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12" w:rsidRDefault="008D6412" w:rsidP="00B50EAF">
      <w:r>
        <w:separator/>
      </w:r>
    </w:p>
  </w:endnote>
  <w:endnote w:type="continuationSeparator" w:id="0">
    <w:p w:rsidR="008D6412" w:rsidRDefault="008D6412" w:rsidP="00B5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F" w:rsidRDefault="00B5552A">
    <w:pPr>
      <w:pStyle w:val="Footer"/>
      <w:rPr>
        <w:color w:val="000000" w:themeColor="text1"/>
        <w:sz w:val="24"/>
        <w:szCs w:val="24"/>
      </w:rPr>
    </w:pPr>
    <w:sdt>
      <w:sdtPr>
        <w:rPr>
          <w:color w:val="404040" w:themeColor="text1" w:themeTint="BF"/>
          <w:sz w:val="20"/>
          <w:szCs w:val="20"/>
        </w:rPr>
        <w:alias w:val="Author"/>
        <w:id w:val="54214575"/>
        <w:placeholder>
          <w:docPart w:val="5C39B3AEB4FE43B5A37813482A5D79B5"/>
        </w:placeholder>
        <w:dataBinding w:prefixMappings="xmlns:ns0='http://schemas.openxmlformats.org/package/2006/metadata/core-properties' xmlns:ns1='http://purl.org/dc/elements/1.1/'" w:xpath="/ns0:coreProperties[1]/ns1:creator[1]" w:storeItemID="{6C3C8BC8-F283-45AE-878A-BAB7291924A1}"/>
        <w:text/>
      </w:sdtPr>
      <w:sdtEndPr/>
      <w:sdtContent>
        <w:r w:rsidR="00E70C5E">
          <w:rPr>
            <w:color w:val="404040" w:themeColor="text1" w:themeTint="BF"/>
            <w:sz w:val="20"/>
            <w:szCs w:val="20"/>
          </w:rPr>
          <w:t>H</w:t>
        </w:r>
        <w:r w:rsidR="00B50EAF" w:rsidRPr="00B50EAF">
          <w:rPr>
            <w:color w:val="404040" w:themeColor="text1" w:themeTint="BF"/>
            <w:sz w:val="20"/>
            <w:szCs w:val="20"/>
          </w:rPr>
          <w:t xml:space="preserve">OME </w:t>
        </w:r>
        <w:r w:rsidR="00E70C5E">
          <w:rPr>
            <w:color w:val="404040" w:themeColor="text1" w:themeTint="BF"/>
            <w:sz w:val="20"/>
            <w:szCs w:val="20"/>
          </w:rPr>
          <w:t>RENTAL &amp; CHDO SET-ASIDE FACT SHEET</w:t>
        </w:r>
      </w:sdtContent>
    </w:sdt>
  </w:p>
  <w:p w:rsidR="00B50EAF" w:rsidRDefault="00B50EAF">
    <w:pPr>
      <w:pStyle w:val="Footer"/>
    </w:pPr>
    <w:r>
      <w:rPr>
        <w:noProof/>
      </w:rPr>
      <mc:AlternateContent>
        <mc:Choice Requires="wps">
          <w:drawing>
            <wp:anchor distT="0" distB="0" distL="114300" distR="114300" simplePos="0" relativeHeight="251659264" behindDoc="0" locked="0" layoutInCell="1" allowOverlap="1" wp14:anchorId="7C70C36C" wp14:editId="0D05FCA0">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50EAF" w:rsidRPr="00B50EAF" w:rsidRDefault="00B50EAF">
                          <w:pPr>
                            <w:pStyle w:val="Footer"/>
                            <w:jc w:val="right"/>
                            <w:rPr>
                              <w:rFonts w:asciiTheme="majorHAnsi" w:hAnsiTheme="majorHAnsi"/>
                              <w:color w:val="404040" w:themeColor="text1" w:themeTint="BF"/>
                              <w:sz w:val="24"/>
                              <w:szCs w:val="24"/>
                            </w:rPr>
                          </w:pPr>
                          <w:r w:rsidRPr="00B50EAF">
                            <w:rPr>
                              <w:rFonts w:asciiTheme="majorHAnsi" w:hAnsiTheme="majorHAnsi"/>
                              <w:color w:val="404040" w:themeColor="text1" w:themeTint="BF"/>
                              <w:sz w:val="24"/>
                              <w:szCs w:val="24"/>
                            </w:rPr>
                            <w:fldChar w:fldCharType="begin"/>
                          </w:r>
                          <w:r w:rsidRPr="00B50EAF">
                            <w:rPr>
                              <w:rFonts w:asciiTheme="majorHAnsi" w:hAnsiTheme="majorHAnsi"/>
                              <w:color w:val="404040" w:themeColor="text1" w:themeTint="BF"/>
                              <w:sz w:val="24"/>
                              <w:szCs w:val="24"/>
                            </w:rPr>
                            <w:instrText xml:space="preserve"> PAGE  \* Arabic  \* MERGEFORMAT </w:instrText>
                          </w:r>
                          <w:r w:rsidRPr="00B50EAF">
                            <w:rPr>
                              <w:rFonts w:asciiTheme="majorHAnsi" w:hAnsiTheme="majorHAnsi"/>
                              <w:color w:val="404040" w:themeColor="text1" w:themeTint="BF"/>
                              <w:sz w:val="24"/>
                              <w:szCs w:val="24"/>
                            </w:rPr>
                            <w:fldChar w:fldCharType="separate"/>
                          </w:r>
                          <w:r w:rsidR="00B5552A">
                            <w:rPr>
                              <w:rFonts w:asciiTheme="majorHAnsi" w:hAnsiTheme="majorHAnsi"/>
                              <w:noProof/>
                              <w:color w:val="404040" w:themeColor="text1" w:themeTint="BF"/>
                              <w:sz w:val="24"/>
                              <w:szCs w:val="24"/>
                            </w:rPr>
                            <w:t>2</w:t>
                          </w:r>
                          <w:r w:rsidRPr="00B50EAF">
                            <w:rPr>
                              <w:rFonts w:asciiTheme="majorHAnsi" w:hAnsiTheme="majorHAnsi"/>
                              <w:color w:val="404040" w:themeColor="text1" w:themeTint="BF"/>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B50EAF" w:rsidRPr="00B50EAF" w:rsidRDefault="00B50EAF">
                    <w:pPr>
                      <w:pStyle w:val="Footer"/>
                      <w:jc w:val="right"/>
                      <w:rPr>
                        <w:rFonts w:asciiTheme="majorHAnsi" w:hAnsiTheme="majorHAnsi"/>
                        <w:color w:val="404040" w:themeColor="text1" w:themeTint="BF"/>
                        <w:sz w:val="24"/>
                        <w:szCs w:val="24"/>
                      </w:rPr>
                    </w:pPr>
                    <w:r w:rsidRPr="00B50EAF">
                      <w:rPr>
                        <w:rFonts w:asciiTheme="majorHAnsi" w:hAnsiTheme="majorHAnsi"/>
                        <w:color w:val="404040" w:themeColor="text1" w:themeTint="BF"/>
                        <w:sz w:val="24"/>
                        <w:szCs w:val="24"/>
                      </w:rPr>
                      <w:fldChar w:fldCharType="begin"/>
                    </w:r>
                    <w:r w:rsidRPr="00B50EAF">
                      <w:rPr>
                        <w:rFonts w:asciiTheme="majorHAnsi" w:hAnsiTheme="majorHAnsi"/>
                        <w:color w:val="404040" w:themeColor="text1" w:themeTint="BF"/>
                        <w:sz w:val="24"/>
                        <w:szCs w:val="24"/>
                      </w:rPr>
                      <w:instrText xml:space="preserve"> PAGE  \* Arabic  \* MERGEFORMAT </w:instrText>
                    </w:r>
                    <w:r w:rsidRPr="00B50EAF">
                      <w:rPr>
                        <w:rFonts w:asciiTheme="majorHAnsi" w:hAnsiTheme="majorHAnsi"/>
                        <w:color w:val="404040" w:themeColor="text1" w:themeTint="BF"/>
                        <w:sz w:val="24"/>
                        <w:szCs w:val="24"/>
                      </w:rPr>
                      <w:fldChar w:fldCharType="separate"/>
                    </w:r>
                    <w:r w:rsidR="00B5552A">
                      <w:rPr>
                        <w:rFonts w:asciiTheme="majorHAnsi" w:hAnsiTheme="majorHAnsi"/>
                        <w:noProof/>
                        <w:color w:val="404040" w:themeColor="text1" w:themeTint="BF"/>
                        <w:sz w:val="24"/>
                        <w:szCs w:val="24"/>
                      </w:rPr>
                      <w:t>2</w:t>
                    </w:r>
                    <w:r w:rsidRPr="00B50EAF">
                      <w:rPr>
                        <w:rFonts w:asciiTheme="majorHAnsi" w:hAnsiTheme="majorHAnsi"/>
                        <w:color w:val="404040" w:themeColor="text1" w:themeTint="BF"/>
                        <w:sz w:val="24"/>
                        <w:szCs w:val="24"/>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9B9394D" wp14:editId="11D81B2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09" w:rsidRDefault="002B1209">
    <w:pPr>
      <w:pStyle w:val="Footer"/>
    </w:pPr>
  </w:p>
  <w:p w:rsidR="002B1209" w:rsidRDefault="002B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12" w:rsidRDefault="008D6412" w:rsidP="00B50EAF">
      <w:r>
        <w:separator/>
      </w:r>
    </w:p>
  </w:footnote>
  <w:footnote w:type="continuationSeparator" w:id="0">
    <w:p w:rsidR="008D6412" w:rsidRDefault="008D6412" w:rsidP="00B50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F16B9"/>
    <w:multiLevelType w:val="hybridMultilevel"/>
    <w:tmpl w:val="E76CCD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4E97"/>
    <w:multiLevelType w:val="hybridMultilevel"/>
    <w:tmpl w:val="972E58D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44834"/>
    <w:multiLevelType w:val="hybridMultilevel"/>
    <w:tmpl w:val="4448E4D2"/>
    <w:lvl w:ilvl="0" w:tplc="094C124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C92219A"/>
    <w:multiLevelType w:val="hybridMultilevel"/>
    <w:tmpl w:val="997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94476"/>
    <w:multiLevelType w:val="hybridMultilevel"/>
    <w:tmpl w:val="458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0480D"/>
    <w:multiLevelType w:val="hybridMultilevel"/>
    <w:tmpl w:val="BAF6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A7B90"/>
    <w:multiLevelType w:val="hybridMultilevel"/>
    <w:tmpl w:val="E2C0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5F"/>
    <w:rsid w:val="00013C39"/>
    <w:rsid w:val="00052E67"/>
    <w:rsid w:val="0008075A"/>
    <w:rsid w:val="000C0A63"/>
    <w:rsid w:val="000D322A"/>
    <w:rsid w:val="000F7725"/>
    <w:rsid w:val="00106188"/>
    <w:rsid w:val="00120918"/>
    <w:rsid w:val="0013311D"/>
    <w:rsid w:val="001911AF"/>
    <w:rsid w:val="001A1882"/>
    <w:rsid w:val="001A308B"/>
    <w:rsid w:val="001F4094"/>
    <w:rsid w:val="001F7CBD"/>
    <w:rsid w:val="00237167"/>
    <w:rsid w:val="00255AD8"/>
    <w:rsid w:val="00284C19"/>
    <w:rsid w:val="002854AD"/>
    <w:rsid w:val="002B1209"/>
    <w:rsid w:val="002D713D"/>
    <w:rsid w:val="002F0799"/>
    <w:rsid w:val="00305023"/>
    <w:rsid w:val="00310896"/>
    <w:rsid w:val="003458BE"/>
    <w:rsid w:val="00354F55"/>
    <w:rsid w:val="00361DC9"/>
    <w:rsid w:val="00363529"/>
    <w:rsid w:val="00370553"/>
    <w:rsid w:val="00370DBC"/>
    <w:rsid w:val="003827DD"/>
    <w:rsid w:val="003900D9"/>
    <w:rsid w:val="00393BEB"/>
    <w:rsid w:val="003A405E"/>
    <w:rsid w:val="00403B31"/>
    <w:rsid w:val="00430B73"/>
    <w:rsid w:val="00440D1B"/>
    <w:rsid w:val="00455618"/>
    <w:rsid w:val="004915EF"/>
    <w:rsid w:val="004D3346"/>
    <w:rsid w:val="004E0687"/>
    <w:rsid w:val="0050491B"/>
    <w:rsid w:val="0055708A"/>
    <w:rsid w:val="005961C9"/>
    <w:rsid w:val="005B335F"/>
    <w:rsid w:val="005B45D3"/>
    <w:rsid w:val="005D285F"/>
    <w:rsid w:val="005D4671"/>
    <w:rsid w:val="005E5A0C"/>
    <w:rsid w:val="0065286A"/>
    <w:rsid w:val="006754D7"/>
    <w:rsid w:val="0069254D"/>
    <w:rsid w:val="006B30E1"/>
    <w:rsid w:val="006F0E05"/>
    <w:rsid w:val="007179B0"/>
    <w:rsid w:val="0072539D"/>
    <w:rsid w:val="0073693E"/>
    <w:rsid w:val="00742EF3"/>
    <w:rsid w:val="00757C19"/>
    <w:rsid w:val="00772E9A"/>
    <w:rsid w:val="00785B12"/>
    <w:rsid w:val="007B6926"/>
    <w:rsid w:val="007D0696"/>
    <w:rsid w:val="007F2CFA"/>
    <w:rsid w:val="00800608"/>
    <w:rsid w:val="008023DE"/>
    <w:rsid w:val="00814562"/>
    <w:rsid w:val="0082421D"/>
    <w:rsid w:val="008349A1"/>
    <w:rsid w:val="0084426D"/>
    <w:rsid w:val="008D6412"/>
    <w:rsid w:val="00900FC1"/>
    <w:rsid w:val="00902B95"/>
    <w:rsid w:val="00926315"/>
    <w:rsid w:val="009433F3"/>
    <w:rsid w:val="009516BA"/>
    <w:rsid w:val="00977422"/>
    <w:rsid w:val="009858A5"/>
    <w:rsid w:val="009C11A0"/>
    <w:rsid w:val="009E1B06"/>
    <w:rsid w:val="009F0ED8"/>
    <w:rsid w:val="00A524A0"/>
    <w:rsid w:val="00A870A0"/>
    <w:rsid w:val="00A91347"/>
    <w:rsid w:val="00AA75CF"/>
    <w:rsid w:val="00AB7D81"/>
    <w:rsid w:val="00AF3159"/>
    <w:rsid w:val="00B17B58"/>
    <w:rsid w:val="00B40F44"/>
    <w:rsid w:val="00B50EAF"/>
    <w:rsid w:val="00B5552A"/>
    <w:rsid w:val="00B77BEF"/>
    <w:rsid w:val="00BA1B50"/>
    <w:rsid w:val="00BA4F1D"/>
    <w:rsid w:val="00BC6B4B"/>
    <w:rsid w:val="00BE5426"/>
    <w:rsid w:val="00BF1C57"/>
    <w:rsid w:val="00C43A74"/>
    <w:rsid w:val="00CA2E93"/>
    <w:rsid w:val="00CD6766"/>
    <w:rsid w:val="00CE7DC2"/>
    <w:rsid w:val="00D06AC8"/>
    <w:rsid w:val="00D254EB"/>
    <w:rsid w:val="00D72C72"/>
    <w:rsid w:val="00D76947"/>
    <w:rsid w:val="00DD7F21"/>
    <w:rsid w:val="00DE4E26"/>
    <w:rsid w:val="00E03E8D"/>
    <w:rsid w:val="00E06812"/>
    <w:rsid w:val="00E13D29"/>
    <w:rsid w:val="00E210A4"/>
    <w:rsid w:val="00E4322C"/>
    <w:rsid w:val="00E51D31"/>
    <w:rsid w:val="00E70C5E"/>
    <w:rsid w:val="00E800CE"/>
    <w:rsid w:val="00EA1E6C"/>
    <w:rsid w:val="00F54031"/>
    <w:rsid w:val="00F54EAB"/>
    <w:rsid w:val="00F605D9"/>
    <w:rsid w:val="00F85E21"/>
    <w:rsid w:val="00FA07F0"/>
    <w:rsid w:val="00FD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AF"/>
    <w:pPr>
      <w:tabs>
        <w:tab w:val="center" w:pos="4680"/>
        <w:tab w:val="right" w:pos="9360"/>
      </w:tabs>
    </w:pPr>
  </w:style>
  <w:style w:type="character" w:customStyle="1" w:styleId="HeaderChar">
    <w:name w:val="Header Char"/>
    <w:basedOn w:val="DefaultParagraphFont"/>
    <w:link w:val="Header"/>
    <w:uiPriority w:val="99"/>
    <w:rsid w:val="00B50EAF"/>
  </w:style>
  <w:style w:type="paragraph" w:styleId="Footer">
    <w:name w:val="footer"/>
    <w:basedOn w:val="Normal"/>
    <w:link w:val="FooterChar"/>
    <w:uiPriority w:val="99"/>
    <w:unhideWhenUsed/>
    <w:rsid w:val="00B50EAF"/>
    <w:pPr>
      <w:tabs>
        <w:tab w:val="center" w:pos="4680"/>
        <w:tab w:val="right" w:pos="9360"/>
      </w:tabs>
    </w:pPr>
  </w:style>
  <w:style w:type="character" w:customStyle="1" w:styleId="FooterChar">
    <w:name w:val="Footer Char"/>
    <w:basedOn w:val="DefaultParagraphFont"/>
    <w:link w:val="Footer"/>
    <w:uiPriority w:val="99"/>
    <w:rsid w:val="00B50EAF"/>
  </w:style>
  <w:style w:type="paragraph" w:customStyle="1" w:styleId="3CBD5A742C28424DA5172AD252E32316">
    <w:name w:val="3CBD5A742C28424DA5172AD252E32316"/>
    <w:rsid w:val="00B50EA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B50EAF"/>
    <w:rPr>
      <w:rFonts w:ascii="Tahoma" w:hAnsi="Tahoma" w:cs="Tahoma"/>
      <w:sz w:val="16"/>
      <w:szCs w:val="16"/>
    </w:rPr>
  </w:style>
  <w:style w:type="character" w:customStyle="1" w:styleId="BalloonTextChar">
    <w:name w:val="Balloon Text Char"/>
    <w:basedOn w:val="DefaultParagraphFont"/>
    <w:link w:val="BalloonText"/>
    <w:uiPriority w:val="99"/>
    <w:semiHidden/>
    <w:rsid w:val="00B50EAF"/>
    <w:rPr>
      <w:rFonts w:ascii="Tahoma" w:hAnsi="Tahoma" w:cs="Tahoma"/>
      <w:sz w:val="16"/>
      <w:szCs w:val="16"/>
    </w:rPr>
  </w:style>
  <w:style w:type="paragraph" w:styleId="ListParagraph">
    <w:name w:val="List Paragraph"/>
    <w:basedOn w:val="Normal"/>
    <w:uiPriority w:val="34"/>
    <w:qFormat/>
    <w:rsid w:val="00D76947"/>
    <w:pPr>
      <w:ind w:left="720"/>
      <w:contextualSpacing/>
    </w:pPr>
  </w:style>
  <w:style w:type="table" w:styleId="TableGrid">
    <w:name w:val="Table Grid"/>
    <w:basedOn w:val="TableNormal"/>
    <w:uiPriority w:val="59"/>
    <w:rsid w:val="003A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4EAB"/>
    <w:pPr>
      <w:tabs>
        <w:tab w:val="left" w:pos="-1080"/>
        <w:tab w:val="left" w:pos="-720"/>
        <w:tab w:val="left" w:pos="0"/>
        <w:tab w:val="left" w:pos="540"/>
        <w:tab w:val="left" w:pos="990"/>
        <w:tab w:val="left" w:pos="1350"/>
        <w:tab w:val="left" w:pos="1800"/>
      </w:tabs>
      <w:ind w:left="1350" w:hanging="45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F54EAB"/>
    <w:rPr>
      <w:rFonts w:ascii="CG Times" w:eastAsia="Times New Roman" w:hAnsi="CG Times" w:cs="Times New Roman"/>
      <w:sz w:val="24"/>
      <w:szCs w:val="20"/>
    </w:rPr>
  </w:style>
  <w:style w:type="paragraph" w:styleId="Title">
    <w:name w:val="Title"/>
    <w:basedOn w:val="Normal"/>
    <w:next w:val="Normal"/>
    <w:link w:val="TitleChar"/>
    <w:uiPriority w:val="10"/>
    <w:qFormat/>
    <w:rsid w:val="00AA75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5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0C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C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EAF"/>
    <w:pPr>
      <w:tabs>
        <w:tab w:val="center" w:pos="4680"/>
        <w:tab w:val="right" w:pos="9360"/>
      </w:tabs>
    </w:pPr>
  </w:style>
  <w:style w:type="character" w:customStyle="1" w:styleId="HeaderChar">
    <w:name w:val="Header Char"/>
    <w:basedOn w:val="DefaultParagraphFont"/>
    <w:link w:val="Header"/>
    <w:uiPriority w:val="99"/>
    <w:rsid w:val="00B50EAF"/>
  </w:style>
  <w:style w:type="paragraph" w:styleId="Footer">
    <w:name w:val="footer"/>
    <w:basedOn w:val="Normal"/>
    <w:link w:val="FooterChar"/>
    <w:uiPriority w:val="99"/>
    <w:unhideWhenUsed/>
    <w:rsid w:val="00B50EAF"/>
    <w:pPr>
      <w:tabs>
        <w:tab w:val="center" w:pos="4680"/>
        <w:tab w:val="right" w:pos="9360"/>
      </w:tabs>
    </w:pPr>
  </w:style>
  <w:style w:type="character" w:customStyle="1" w:styleId="FooterChar">
    <w:name w:val="Footer Char"/>
    <w:basedOn w:val="DefaultParagraphFont"/>
    <w:link w:val="Footer"/>
    <w:uiPriority w:val="99"/>
    <w:rsid w:val="00B50EAF"/>
  </w:style>
  <w:style w:type="paragraph" w:customStyle="1" w:styleId="3CBD5A742C28424DA5172AD252E32316">
    <w:name w:val="3CBD5A742C28424DA5172AD252E32316"/>
    <w:rsid w:val="00B50EA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B50EAF"/>
    <w:rPr>
      <w:rFonts w:ascii="Tahoma" w:hAnsi="Tahoma" w:cs="Tahoma"/>
      <w:sz w:val="16"/>
      <w:szCs w:val="16"/>
    </w:rPr>
  </w:style>
  <w:style w:type="character" w:customStyle="1" w:styleId="BalloonTextChar">
    <w:name w:val="Balloon Text Char"/>
    <w:basedOn w:val="DefaultParagraphFont"/>
    <w:link w:val="BalloonText"/>
    <w:uiPriority w:val="99"/>
    <w:semiHidden/>
    <w:rsid w:val="00B50EAF"/>
    <w:rPr>
      <w:rFonts w:ascii="Tahoma" w:hAnsi="Tahoma" w:cs="Tahoma"/>
      <w:sz w:val="16"/>
      <w:szCs w:val="16"/>
    </w:rPr>
  </w:style>
  <w:style w:type="paragraph" w:styleId="ListParagraph">
    <w:name w:val="List Paragraph"/>
    <w:basedOn w:val="Normal"/>
    <w:uiPriority w:val="34"/>
    <w:qFormat/>
    <w:rsid w:val="00D76947"/>
    <w:pPr>
      <w:ind w:left="720"/>
      <w:contextualSpacing/>
    </w:pPr>
  </w:style>
  <w:style w:type="table" w:styleId="TableGrid">
    <w:name w:val="Table Grid"/>
    <w:basedOn w:val="TableNormal"/>
    <w:uiPriority w:val="59"/>
    <w:rsid w:val="003A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54EAB"/>
    <w:pPr>
      <w:tabs>
        <w:tab w:val="left" w:pos="-1080"/>
        <w:tab w:val="left" w:pos="-720"/>
        <w:tab w:val="left" w:pos="0"/>
        <w:tab w:val="left" w:pos="540"/>
        <w:tab w:val="left" w:pos="990"/>
        <w:tab w:val="left" w:pos="1350"/>
        <w:tab w:val="left" w:pos="1800"/>
      </w:tabs>
      <w:ind w:left="1350" w:hanging="450"/>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F54EAB"/>
    <w:rPr>
      <w:rFonts w:ascii="CG Times" w:eastAsia="Times New Roman" w:hAnsi="CG Times" w:cs="Times New Roman"/>
      <w:sz w:val="24"/>
      <w:szCs w:val="20"/>
    </w:rPr>
  </w:style>
  <w:style w:type="paragraph" w:styleId="Title">
    <w:name w:val="Title"/>
    <w:basedOn w:val="Normal"/>
    <w:next w:val="Normal"/>
    <w:link w:val="TitleChar"/>
    <w:uiPriority w:val="10"/>
    <w:qFormat/>
    <w:rsid w:val="00AA75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5C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0C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39B3AEB4FE43B5A37813482A5D79B5"/>
        <w:category>
          <w:name w:val="General"/>
          <w:gallery w:val="placeholder"/>
        </w:category>
        <w:types>
          <w:type w:val="bbPlcHdr"/>
        </w:types>
        <w:behaviors>
          <w:behavior w:val="content"/>
        </w:behaviors>
        <w:guid w:val="{AE020E2E-0807-4D74-B67E-29414E1D7A3A}"/>
      </w:docPartPr>
      <w:docPartBody>
        <w:p w:rsidR="00E73198" w:rsidRDefault="00C773F5" w:rsidP="00C773F5">
          <w:pPr>
            <w:pStyle w:val="5C39B3AEB4FE43B5A37813482A5D79B5"/>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F5"/>
    <w:rsid w:val="00126B4C"/>
    <w:rsid w:val="0020266E"/>
    <w:rsid w:val="00361399"/>
    <w:rsid w:val="003C5D2F"/>
    <w:rsid w:val="004D494B"/>
    <w:rsid w:val="00544235"/>
    <w:rsid w:val="006E2412"/>
    <w:rsid w:val="00751582"/>
    <w:rsid w:val="009A6F8A"/>
    <w:rsid w:val="00C773F5"/>
    <w:rsid w:val="00D35FEE"/>
    <w:rsid w:val="00D60D2E"/>
    <w:rsid w:val="00E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9B3AEB4FE43B5A37813482A5D79B5">
    <w:name w:val="5C39B3AEB4FE43B5A37813482A5D79B5"/>
    <w:rsid w:val="00C773F5"/>
  </w:style>
  <w:style w:type="paragraph" w:customStyle="1" w:styleId="68C9D476D48848A4A52E1E012F1CBA97">
    <w:name w:val="68C9D476D48848A4A52E1E012F1CBA97"/>
    <w:rsid w:val="00C773F5"/>
  </w:style>
  <w:style w:type="paragraph" w:customStyle="1" w:styleId="804C97509E6B41D188EECE71AE4E3DDA">
    <w:name w:val="804C97509E6B41D188EECE71AE4E3DDA"/>
    <w:rsid w:val="00C773F5"/>
  </w:style>
  <w:style w:type="paragraph" w:customStyle="1" w:styleId="8B1CAD48F29F495BA9A6E6A979B6094C">
    <w:name w:val="8B1CAD48F29F495BA9A6E6A979B6094C"/>
    <w:rsid w:val="009A6F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9B3AEB4FE43B5A37813482A5D79B5">
    <w:name w:val="5C39B3AEB4FE43B5A37813482A5D79B5"/>
    <w:rsid w:val="00C773F5"/>
  </w:style>
  <w:style w:type="paragraph" w:customStyle="1" w:styleId="68C9D476D48848A4A52E1E012F1CBA97">
    <w:name w:val="68C9D476D48848A4A52E1E012F1CBA97"/>
    <w:rsid w:val="00C773F5"/>
  </w:style>
  <w:style w:type="paragraph" w:customStyle="1" w:styleId="804C97509E6B41D188EECE71AE4E3DDA">
    <w:name w:val="804C97509E6B41D188EECE71AE4E3DDA"/>
    <w:rsid w:val="00C773F5"/>
  </w:style>
  <w:style w:type="paragraph" w:customStyle="1" w:styleId="8B1CAD48F29F495BA9A6E6A979B6094C">
    <w:name w:val="8B1CAD48F29F495BA9A6E6A979B6094C"/>
    <w:rsid w:val="009A6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Program Requirements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HOME INVESTMENT PARTNERSHIPS PROGRAM</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INVESTMENT PARTNERSHIPS PROGRAM</dc:title>
  <dc:creator>HOME RENTAL &amp; CHDO SET-ASIDE FACT SHEET</dc:creator>
  <cp:lastModifiedBy>Lillie Naylor</cp:lastModifiedBy>
  <cp:revision>3</cp:revision>
  <cp:lastPrinted>2015-12-02T14:54:00Z</cp:lastPrinted>
  <dcterms:created xsi:type="dcterms:W3CDTF">2017-07-10T16:53:00Z</dcterms:created>
  <dcterms:modified xsi:type="dcterms:W3CDTF">2017-07-10T18:26:00Z</dcterms:modified>
</cp:coreProperties>
</file>